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105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6"/>
      </w:tblGrid>
      <w:tr>
        <w:trPr>
          <w:trHeight w:val="2955" w:hRule="atLeast"/>
        </w:trPr>
        <w:tc>
          <w:tcPr>
            <w:tcW w:w="105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highlight w:val="yellow"/>
              </w:rPr>
              <w:t>Специализированная программа  «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highlight w:val="yellow"/>
                <w:lang w:val="ru-RU"/>
              </w:rPr>
              <w:t>ДВИЖЕНИЕ БЕЗ БОЛИ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highlight w:val="yellow"/>
              </w:rPr>
              <w:t>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u w:val="single"/>
              </w:rPr>
              <w:t>Цель программы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</w:rPr>
              <w:t>:</w:t>
              <w:br/>
              <w:t>Уменьшение или исчезновение болевого синдрома в суставах и позвоночнике, улучшение субъективного самочувствия, общего тонуса, уменьшение проявлений заболеваний, удлинение периодов ремиссий.</w:t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  <w:u w:val="single"/>
              </w:rPr>
              <w:t>Показания:</w:t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highlight w:val="yellow"/>
              </w:rPr>
              <w:t>Программа предназначена пациентам  с заболеваниями суставов и позвоночника в стадии ремиссии и неполной ремиссии.</w:t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Длительность:</w:t>
              <w:br/>
              <w:t xml:space="preserve">7,10,12,14 дней </w:t>
            </w:r>
          </w:p>
        </w:tc>
      </w:tr>
    </w:tbl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4"/>
        <w:tblW w:w="10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1347"/>
        <w:gridCol w:w="1448"/>
        <w:gridCol w:w="1364"/>
        <w:gridCol w:w="1326"/>
      </w:tblGrid>
      <w:tr>
        <w:trPr>
          <w:trHeight w:val="555" w:hRule="atLeas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7дн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10дн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12дн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14дн</w:t>
            </w:r>
          </w:p>
        </w:tc>
      </w:tr>
      <w:tr>
        <w:trPr>
          <w:trHeight w:val="381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Осмотр врача  ( первичный)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минут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Повторный осмотр врача — 15 минут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Заключительный осмотр врача — 15 минут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187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Первичный диагностический минимум:  креатинин, мочевая кислота, липидный профиль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977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Физиотерапевтические процедуры - 1 процедура по 2 физиотерапевтические единицы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>
        <w:trPr>
          <w:trHeight w:val="688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Парафино- озокерито,- или грязелечение ( Молтаевская грязь)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1004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Лечебные ванны ( скипидарные, бишофитовые, йодобромные, хлоридно- натриевые,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др.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Лечебные души ( Шарко, Виши, циркулярный)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423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«Ормед»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Реабилитация на аппарате HUBER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ЛФК ( групповое занятие)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10</w:t>
            </w:r>
          </w:p>
        </w:tc>
      </w:tr>
      <w:tr>
        <w:trPr>
          <w:trHeight w:val="423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>
        <w:trPr>
          <w:trHeight w:val="505" w:hRule="atLeast"/>
        </w:trPr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>
        <w:trPr>
          <w:trHeight w:val="72" w:hRule="atLeast"/>
        </w:trPr>
        <w:tc>
          <w:tcPr>
            <w:tcW w:w="49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bookmarkStart w:id="0" w:name="_GoBack"/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  <w:bookmarkEnd w:id="0"/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next w:val="Normal"/>
    <w:uiPriority w:val="9"/>
    <w:semiHidden/>
    <w:unhideWhenUsed/>
    <w:qFormat/>
    <w:pPr>
      <w:widowControl/>
      <w:suppressAutoHyphens w:val="true"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LibreOffice/24.2.3.2$Windows_X86_64 LibreOffice_project/433d9c2ded56988e8a90e6b2e771ee4e6a5ab2ba</Application>
  <AppVersion>15.0000</AppVersion>
  <Pages>1</Pages>
  <Words>208</Words>
  <Characters>1157</Characters>
  <CharactersWithSpaces>1293</CharactersWithSpaces>
  <Paragraphs>85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2018-03-26T04:50:00Z</dcterms:created>
  <dc:creator>ADMIN</dc:creator>
  <dc:description/>
  <dc:language>ru-RU</dc:language>
  <cp:lastModifiedBy/>
  <cp:lastPrinted>2025-12-04T11:37:33Z</cp:lastPrinted>
  <dcterms:modified xsi:type="dcterms:W3CDTF">2025-12-04T11:37:46Z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8EFA83E41FF644C0815BA1DE476DA0A4</vt:lpwstr>
  </property>
  <property fmtid="{D5CDD505-2E9C-101B-9397-08002B2CF9AE}" pid="3" name="KSOProductBuildVer">
    <vt:lpwstr>1049-11.2.0.11486</vt:lpwstr>
  </property>
</Properties>
</file>