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3"/>
        <w:tblW w:w="1044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7"/>
        <w:gridCol w:w="1336"/>
        <w:gridCol w:w="1367"/>
        <w:gridCol w:w="1404"/>
        <w:gridCol w:w="1332"/>
      </w:tblGrid>
      <w:tr>
        <w:trPr>
          <w:trHeight w:val="3435" w:hRule="atLeast"/>
        </w:trPr>
        <w:tc>
          <w:tcPr>
            <w:tcW w:w="10446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 w:cs="Times New Roman" w:eastAsiaTheme="minorHAnsi"/>
                <w:b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kern w:val="0"/>
                <w:sz w:val="28"/>
                <w:szCs w:val="28"/>
                <w:highlight w:val="yellow"/>
                <w:lang w:eastAsia="en-US"/>
              </w:rPr>
              <w:t>Специализированная программа  «</w:t>
            </w:r>
            <w:r>
              <w:rPr>
                <w:rFonts w:eastAsia="Calibri" w:cs="Times New Roman" w:ascii="Times New Roman" w:hAnsi="Times New Roman" w:eastAsiaTheme="minorHAnsi"/>
                <w:b/>
                <w:kern w:val="0"/>
                <w:sz w:val="28"/>
                <w:szCs w:val="28"/>
                <w:highlight w:val="yellow"/>
                <w:lang w:val="ru-RU" w:eastAsia="en-US"/>
              </w:rPr>
              <w:t>ЧИСТЫЕ СОСУДЫ</w:t>
            </w:r>
            <w:r>
              <w:rPr>
                <w:rFonts w:eastAsia="Calibri" w:cs="Times New Roman" w:ascii="Times New Roman" w:hAnsi="Times New Roman" w:eastAsiaTheme="minorHAnsi"/>
                <w:b/>
                <w:kern w:val="0"/>
                <w:sz w:val="28"/>
                <w:szCs w:val="28"/>
                <w:highlight w:val="yellow"/>
                <w:lang w:eastAsia="en-US"/>
              </w:rPr>
              <w:t>»</w:t>
            </w:r>
          </w:p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Calibri" w:hAnsi="Calibri"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sz w:val="24"/>
                <w:szCs w:val="24"/>
                <w:highlight w:val="yellow"/>
                <w:u w:val="single"/>
                <w:lang w:eastAsia="en-US"/>
              </w:rPr>
              <w:br/>
              <w:t xml:space="preserve">Цель программы: </w:t>
              <w:br/>
            </w: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sz w:val="24"/>
                <w:szCs w:val="24"/>
                <w:highlight w:val="yellow"/>
                <w:u w:val="none"/>
                <w:lang w:eastAsia="en-US"/>
              </w:rPr>
              <w:t>Повышение толерантности к физическим нагрузкам, улучшение субъективного самочувствия, общего тонуса, уменьшение проявлений заболеваний.</w:t>
              <w:br/>
            </w: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sz w:val="24"/>
                <w:szCs w:val="24"/>
                <w:highlight w:val="yellow"/>
                <w:u w:val="single"/>
                <w:lang w:eastAsia="en-US"/>
              </w:rPr>
              <w:t>Показания:</w:t>
            </w: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sz w:val="24"/>
                <w:szCs w:val="24"/>
                <w:highlight w:val="yellow"/>
                <w:u w:val="none"/>
                <w:lang w:eastAsia="en-US"/>
              </w:rPr>
              <w:br/>
              <w:t>Программа предназначена  пациентам с вегето-сосудистой дистонией, гипертонической болезнью  I-II стадии, ишемическая болезнь сердца:стенокардия напряжения   I -II функционнальных классов, дисцикуляторная энцефалопатия, гиперхолестеринемией, дислипидемия.</w:t>
              <w:br/>
            </w:r>
            <w:r>
              <w:rPr>
                <w:rFonts w:eastAsia="Calibri" w:cs="Times New Roman" w:ascii="Times New Roman" w:hAnsi="Times New Roman" w:eastAsiaTheme="minorHAnsi"/>
                <w:b/>
                <w:bCs/>
                <w:kern w:val="0"/>
                <w:sz w:val="24"/>
                <w:szCs w:val="24"/>
                <w:u w:val="none"/>
                <w:lang w:eastAsia="en-US"/>
              </w:rPr>
              <w:t xml:space="preserve">Длительность: 7,  10, 12, 14 дней </w:t>
            </w:r>
          </w:p>
        </w:tc>
      </w:tr>
      <w:tr>
        <w:trPr>
          <w:trHeight w:val="585" w:hRule="atLeast"/>
        </w:trPr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Наименование услуг</w:t>
            </w:r>
          </w:p>
        </w:tc>
        <w:tc>
          <w:tcPr>
            <w:tcW w:w="13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7дн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10дн</w:t>
            </w:r>
          </w:p>
        </w:tc>
        <w:tc>
          <w:tcPr>
            <w:tcW w:w="1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12дн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14дн</w:t>
            </w:r>
          </w:p>
        </w:tc>
      </w:tr>
      <w:tr>
        <w:trPr>
          <w:trHeight w:val="451" w:hRule="atLeast"/>
        </w:trPr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Первичный осмотр врача —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минут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</w:tr>
      <w:tr>
        <w:trPr>
          <w:trHeight w:val="443" w:hRule="atLeast"/>
        </w:trPr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Повторный осмотр врача — 15 минут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-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</w:tr>
      <w:tr>
        <w:trPr>
          <w:trHeight w:val="448" w:hRule="atLeast"/>
        </w:trPr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Заключительный осмотр врача — 15 минут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</w:tr>
      <w:tr>
        <w:trPr>
          <w:trHeight w:val="448" w:hRule="atLeast"/>
        </w:trPr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Консультация психолога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</w:tr>
      <w:tr>
        <w:trPr>
          <w:trHeight w:val="1077" w:hRule="atLeast"/>
        </w:trPr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Первичный д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иагностический ми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</w:rPr>
              <w:t xml:space="preserve">нимум: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/>
              </w:rPr>
              <w:t>л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</w:rPr>
              <w:t>ипидный профиль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</w:rPr>
              <w:t xml:space="preserve"> АСТ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</w:rPr>
              <w:t xml:space="preserve"> АЛТ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/>
              </w:rPr>
              <w:t>, мочевая кислота, ферритин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Внутривенное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 xml:space="preserve"> лазерное облучение крови***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7</w:t>
            </w:r>
          </w:p>
        </w:tc>
      </w:tr>
      <w:tr>
        <w:trPr>
          <w:trHeight w:val="721" w:hRule="atLeast"/>
        </w:trPr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Транскраниальная электростимуляция на аппарате «Трансаир-5»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8</w:t>
            </w:r>
          </w:p>
        </w:tc>
      </w:tr>
      <w:tr>
        <w:trPr>
          <w:trHeight w:val="561" w:hRule="atLeast"/>
        </w:trPr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Сухие углекислые ванны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13</w:t>
            </w:r>
          </w:p>
        </w:tc>
      </w:tr>
      <w:tr>
        <w:trPr>
          <w:trHeight w:val="413" w:hRule="atLeast"/>
        </w:trPr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Бассейн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(плавание)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и инфракрасная сауна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-  1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час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14</w:t>
            </w:r>
          </w:p>
        </w:tc>
      </w:tr>
      <w:tr>
        <w:trPr>
          <w:trHeight w:val="695" w:hRule="atLeast"/>
        </w:trPr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Массаж  аппаратный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- «Ормед»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10</w:t>
            </w:r>
          </w:p>
        </w:tc>
      </w:tr>
      <w:tr>
        <w:trPr>
          <w:trHeight w:val="691" w:hRule="atLeast"/>
        </w:trPr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Внутривенное капельное введение растворов озона***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7</w:t>
            </w:r>
          </w:p>
        </w:tc>
      </w:tr>
      <w:tr>
        <w:trPr>
          <w:trHeight w:val="582" w:hRule="atLeast"/>
        </w:trPr>
        <w:tc>
          <w:tcPr>
            <w:tcW w:w="5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ЛФК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 xml:space="preserve"> групповое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10</w:t>
            </w:r>
          </w:p>
        </w:tc>
      </w:tr>
      <w:tr>
        <w:trPr>
          <w:trHeight w:val="407" w:hRule="atLeast"/>
        </w:trPr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Фитотерапия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14</w:t>
            </w:r>
          </w:p>
        </w:tc>
      </w:tr>
      <w:tr>
        <w:trPr>
          <w:trHeight w:val="409" w:hRule="atLeast"/>
        </w:trPr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Кислородные коктейли</w:t>
            </w:r>
          </w:p>
        </w:tc>
        <w:tc>
          <w:tcPr>
            <w:tcW w:w="13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13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14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*** В случае отсутствия технической возможности проведения ВЛОК и озонотерапии (плохое состояние периферических  вен)  данные процедуры заменяются на надвенное лазерное облучение крови и терапию сосудистыми препаратами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Неотложная помощь оказывается по показаниям.</w:t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Замена процедур по программе не производится.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Дополнительные процедуры оплачиваются по прейскуранту.</w:t>
      </w:r>
      <w:bookmarkStart w:id="0" w:name="_GoBack"/>
      <w:bookmarkEnd w:id="0"/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LibreOffice/24.2.3.2$Windows_X86_64 LibreOffice_project/433d9c2ded56988e8a90e6b2e771ee4e6a5ab2ba</Application>
  <AppVersion>15.0000</AppVersion>
  <Pages>1</Pages>
  <Words>213</Words>
  <Characters>1321</Characters>
  <CharactersWithSpaces>1469</CharactersWithSpaces>
  <Paragraphs>81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2018-03-26T04:32:00Z</dcterms:created>
  <dc:creator>ADMIN</dc:creator>
  <dc:description/>
  <dc:language>ru-RU</dc:language>
  <cp:lastModifiedBy/>
  <cp:lastPrinted>2025-12-04T12:05:21Z</cp:lastPrinted>
  <dcterms:modified xsi:type="dcterms:W3CDTF">2025-12-04T12:05:25Z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406B220D1C5540F7AE9999BCB183A902</vt:lpwstr>
  </property>
  <property fmtid="{D5CDD505-2E9C-101B-9397-08002B2CF9AE}" pid="3" name="KSOProductBuildVer">
    <vt:lpwstr>1049-11.2.0.11486</vt:lpwstr>
  </property>
</Properties>
</file>